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de calidad de aire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IP - empotrado</w:t>
      </w:r>
    </w:p>
    <w:p/>
    <w:p>
      <w:pPr/>
      <w:r>
        <w:rPr/>
        <w:t xml:space="preserve">Con detector de movimiento: No;Garantía de fabricante: 5 años;Configuración mediante: Teléfono inteligente, Tableta, Bluetooth Mesh;Con mando a distancia: No;Variante: IP - empotrado;UE1, EAN: 4007841091781;Acabado: Otros;Aplicación, lugar: Interior;Aplicación, sala: Oficina colectiva, Habitación de hotel, Aulas, Sala de conferencias / sala de reuniones;Incluye soporte esquinero de pared: No;Lugar de instalación: Techo;Tipo de montaje: Empotrado, Techo;Índice de protección: IP 20;Temperatura ambiente: de 0 a 50 °C;Material: Plástico;Tecnología, sensores: CO2, Nivel de ruido, Presión de aire, Humedad ambiental, Medición de luz mixta, Temperatura, VOC;Altura de montaje: 2 – 12 m;Altura de montaje máx.: 12,00 m;Altura de montaje óptima: 2,8 m;Regulación crepuscular: 2 – 2000 lx;Luz principal regulable: Sí;Regulación crepuscular aprendizaje: Sí;Interconexión: Sí;Interconexión vía: Bluetooth Mesh;Producto categoría: Sensor de calidad de aire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091781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2026-07-18T01:08:23+02:00</dcterms:created>
  <dcterms:modified xsi:type="dcterms:W3CDTF">2026-07-18T01:08:23+02:00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